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85" w:rsidRPr="00673585" w:rsidRDefault="004566A4" w:rsidP="006735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 О Г О В </w:t>
      </w: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B628EC"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9F2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BB2248">
        <w:rPr>
          <w:rFonts w:ascii="Arial" w:eastAsia="Times New Roman" w:hAnsi="Arial" w:cs="Arial"/>
          <w:sz w:val="20"/>
          <w:szCs w:val="20"/>
        </w:rPr>
        <w:t xml:space="preserve"> </w:t>
      </w:r>
    </w:p>
    <w:p w:rsidR="00B628EC" w:rsidRPr="00A82050" w:rsidRDefault="00B628EC" w:rsidP="00B628EC">
      <w:pPr>
        <w:tabs>
          <w:tab w:val="left" w:pos="-284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подряда на выполнение ремонтных работ</w:t>
      </w:r>
      <w:r w:rsidR="00B80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         </w:t>
      </w:r>
      <w:r w:rsidR="00A8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«»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B8069B" w:rsidP="0086379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</w:t>
      </w:r>
      <w:r w:rsidR="00E36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МЕТ»), именуемое в дальнейшем </w:t>
      </w:r>
      <w:r w:rsidR="00E3683F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«Закачик</w:t>
      </w:r>
      <w:r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Перфильева Александра Олеговича</w:t>
      </w: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 w:rsidR="00C75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 w:rsidR="00863791"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«Подрядчик»,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действующий на основании </w:t>
      </w:r>
      <w:r w:rsidR="0009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именуемые в дальнейшем «стороны», заключили настоящий договор о нижеследующем:</w:t>
      </w:r>
    </w:p>
    <w:p w:rsidR="00863791" w:rsidRPr="00863791" w:rsidRDefault="00B628EC" w:rsidP="00863791">
      <w:pPr>
        <w:numPr>
          <w:ilvl w:val="0"/>
          <w:numId w:val="1"/>
        </w:numPr>
        <w:tabs>
          <w:tab w:val="left" w:pos="-284"/>
          <w:tab w:val="num" w:pos="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договора.</w:t>
      </w:r>
    </w:p>
    <w:p w:rsidR="00B628EC" w:rsidRPr="00302775" w:rsidRDefault="009C1603" w:rsidP="00302775">
      <w:pPr>
        <w:pStyle w:val="a4"/>
        <w:numPr>
          <w:ilvl w:val="1"/>
          <w:numId w:val="26"/>
        </w:num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установленный настоящим договором срок выполнить по заданию Заказчика </w:t>
      </w:r>
      <w:r w:rsidR="00BB22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Ремонт </w:t>
      </w:r>
      <w:r w:rsidR="00C64D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</w:t>
      </w:r>
      <w:r w:rsidR="00B81A64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работ и уплатить обусловленную цену.</w:t>
      </w:r>
    </w:p>
    <w:p w:rsidR="00302775" w:rsidRPr="00C85B47" w:rsidRDefault="00302775" w:rsidP="00302775">
      <w:pPr>
        <w:pStyle w:val="ad"/>
        <w:ind w:left="-567"/>
      </w:pPr>
      <w:r w:rsidRPr="00C85B47">
        <w:t>1.2.Техническая документация к настоящему договору включает в себя:</w:t>
      </w:r>
    </w:p>
    <w:p w:rsidR="00302775" w:rsidRPr="00C85B47" w:rsidRDefault="00C85B47" w:rsidP="00C85B47">
      <w:pPr>
        <w:pStyle w:val="ad"/>
        <w:ind w:left="-567"/>
        <w:jc w:val="left"/>
        <w:rPr>
          <w:bCs/>
        </w:rPr>
      </w:pPr>
      <w:r>
        <w:rPr>
          <w:bCs/>
        </w:rPr>
        <w:t>- ведомость объемов работ;</w:t>
      </w:r>
    </w:p>
    <w:p w:rsidR="00863791" w:rsidRPr="007F260F" w:rsidRDefault="00302775" w:rsidP="007F260F">
      <w:pPr>
        <w:pStyle w:val="ad"/>
        <w:ind w:left="-567"/>
        <w:rPr>
          <w:i/>
        </w:rPr>
      </w:pPr>
      <w:r>
        <w:t xml:space="preserve">1.3.Техническая документация к настоящему договору на момент заключения договора передана Подрядчику в полном объеме </w:t>
      </w:r>
      <w:r>
        <w:rPr>
          <w:i/>
        </w:rPr>
        <w:t xml:space="preserve">либо передается Подрядчику в течение </w:t>
      </w:r>
      <w:r w:rsidR="00C85B47">
        <w:rPr>
          <w:i/>
        </w:rPr>
        <w:t>3</w:t>
      </w:r>
      <w:r>
        <w:rPr>
          <w:i/>
        </w:rPr>
        <w:t xml:space="preserve"> дней с момента </w:t>
      </w:r>
      <w:r w:rsidR="007F260F">
        <w:rPr>
          <w:i/>
        </w:rPr>
        <w:t>заключения настоящего договора.</w:t>
      </w:r>
    </w:p>
    <w:p w:rsidR="00863791" w:rsidRPr="00863791" w:rsidRDefault="00B628EC" w:rsidP="00863791">
      <w:pPr>
        <w:numPr>
          <w:ilvl w:val="0"/>
          <w:numId w:val="2"/>
        </w:numPr>
        <w:tabs>
          <w:tab w:val="left" w:pos="-284"/>
          <w:tab w:val="num" w:pos="14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ремонтных работ, выполняемых по настоящему договору, определ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локальным </w:t>
      </w:r>
      <w:r w:rsid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ресурсным 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сметным 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расчетом №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7C7" w:rsidRP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3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D32AB3" w:rsidRPr="00D32AB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), являющимися неотъемлемой частью настоящего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2.2.Общая стоимость ремонтных работ, выполняемых по настоящему договору, составляет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09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09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0919B0">
        <w:rPr>
          <w:rFonts w:ascii="Times New Roman" w:eastAsia="Times New Roman" w:hAnsi="Times New Roman" w:cs="Times New Roman"/>
          <w:sz w:val="24"/>
          <w:szCs w:val="24"/>
          <w:lang w:eastAsia="ru-RU"/>
        </w:rPr>
        <w:t>ейка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не облагается на основании Гл.26.2. НК РФ.</w:t>
      </w:r>
    </w:p>
    <w:p w:rsidR="00863791" w:rsidRPr="00863791" w:rsidRDefault="00B628EC" w:rsidP="007F260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2.3.Общая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:rsidR="00863791" w:rsidRPr="00863791" w:rsidRDefault="00B628EC" w:rsidP="00863791">
      <w:pPr>
        <w:pStyle w:val="a4"/>
        <w:numPr>
          <w:ilvl w:val="0"/>
          <w:numId w:val="7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сторон.</w:t>
      </w:r>
    </w:p>
    <w:p w:rsidR="00B628EC" w:rsidRPr="00863791" w:rsidRDefault="00B628EC" w:rsidP="00B628EC">
      <w:pPr>
        <w:numPr>
          <w:ilvl w:val="1"/>
          <w:numId w:val="7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Подрядчик обязуется: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3.1.1.Выполнить работы, являющиеся предметом настоящего договора, в соответствии с 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ведомостью объемов работ</w:t>
      </w:r>
      <w:r w:rsidR="00AE07C7" w:rsidRP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срок, установленный настоящим договором.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выполнение работ необходимыми 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локальным сметным расчетом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3.1.5.Передать Заказчику результат выполненных работ в сроки и в порядке, предусмотренные настоящим договором;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3.1.8.Исполнять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3.1.9.Обеспечить надлежащую сохранность материалов, оборудования, и другого имущества, передаваемого Заказчиком, до сдачи результата работ Заказчику.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3.1.10.Согласовывать с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:rsidR="00B628EC" w:rsidRDefault="00B628EC" w:rsidP="00863791">
      <w:pPr>
        <w:tabs>
          <w:tab w:val="left" w:pos="-284"/>
          <w:tab w:val="left" w:pos="1421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3.1.11.Подрядчик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:rsidR="00C85B47" w:rsidRPr="00C85B47" w:rsidRDefault="00C85B47" w:rsidP="00C85B47">
      <w:pPr>
        <w:pStyle w:val="ad"/>
        <w:ind w:left="-567"/>
      </w:pPr>
      <w:r w:rsidRPr="00C85B47">
        <w:t xml:space="preserve">3.1.12.Ежемесячно предоставлять Заказчику отчет об использовании давальческих материалов (в объеме и количестве). </w:t>
      </w:r>
    </w:p>
    <w:p w:rsidR="00C85B47" w:rsidRPr="00C85B47" w:rsidRDefault="00C85B47" w:rsidP="00C85B47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C85B47">
        <w:t>3.1.13.Возвратить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:rsidR="00863791" w:rsidRPr="00C85B47" w:rsidRDefault="00C85B47" w:rsidP="00C85B47">
      <w:pPr>
        <w:ind w:left="-567"/>
        <w:jc w:val="both"/>
        <w:rPr>
          <w:rFonts w:ascii="Times New Roman" w:hAnsi="Times New Roman" w:cs="Times New Roman"/>
        </w:rPr>
      </w:pPr>
      <w:r w:rsidRPr="00C85B47">
        <w:rPr>
          <w:rFonts w:ascii="Times New Roman" w:hAnsi="Times New Roman" w:cs="Times New Roman"/>
        </w:rPr>
        <w:t>3.1.14.Обеспечить выполнение, установленных в Приложении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 (Приложение №6). За нарушение указанных требований Подрядчик обязан уплатить Заказчику штраф в соответствии с условиями данного Соглашения (Приложение №6).</w:t>
      </w:r>
    </w:p>
    <w:p w:rsidR="00B628EC" w:rsidRPr="00863791" w:rsidRDefault="00B628EC" w:rsidP="00B628EC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Заказчик обязуется: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3.2.1.Своевременно обеспечить готовность объекта к ремонту, предоставить его Подрядчику для выполнения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3.2.2.Осуществлять контроль и надзор за ходом и качеством выполняемых работ, соблюдением сроков их выполнения;</w:t>
      </w:r>
    </w:p>
    <w:p w:rsidR="00B628EC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</w:t>
      </w:r>
      <w:bookmarkStart w:id="0" w:name="_Ref278358884"/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недостатках;</w:t>
      </w:r>
      <w:bookmarkEnd w:id="0"/>
    </w:p>
    <w:p w:rsidR="00C85B47" w:rsidRPr="00C85B47" w:rsidRDefault="00C85B47" w:rsidP="00C85B47">
      <w:pPr>
        <w:pStyle w:val="ad"/>
        <w:ind w:left="-567"/>
      </w:pPr>
      <w:r w:rsidRPr="00C85B47">
        <w:rPr>
          <w:rFonts w:eastAsia="Times New Roman"/>
          <w:iCs/>
        </w:rPr>
        <w:t>3.2.7.</w:t>
      </w:r>
      <w:r w:rsidRPr="00C85B47">
        <w:rPr>
          <w:iCs/>
        </w:rPr>
        <w:t xml:space="preserve"> Обеспечить</w:t>
      </w:r>
      <w:r w:rsidRPr="00C85B47">
        <w:t xml:space="preserve"> </w:t>
      </w:r>
      <w:r w:rsidRPr="00C85B47">
        <w:rPr>
          <w:iCs/>
        </w:rPr>
        <w:t>выполнение работ материалами, в том числе деталями и конструкциями;</w:t>
      </w:r>
    </w:p>
    <w:p w:rsidR="00B628EC" w:rsidRPr="00863791" w:rsidRDefault="00C85B47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3.2.8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.Своевременно принять выполненные Подрядчиком работы, в соответствии с условиями настоящего договора;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выполненных работ в порядке и на условиях настоящего договора.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4.1.Работы, предусмотренные настоящим договором, должны быть выполнены Подрядчиком в срок </w:t>
      </w: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BB2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64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B8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C64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09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8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C64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C47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GoBack"/>
      <w:bookmarkEnd w:id="1"/>
      <w:r w:rsidR="00B8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</w:t>
      </w:r>
      <w:r w:rsidR="00B80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BB2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202</w:t>
      </w:r>
      <w:r w:rsidR="00C64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Сроки выполнения работ могут быть изменены по соглашению сторон.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Подрядчик гарантирует возможность эксплуатации результата выполненных работ в течение гарантийного срока, составляющего 2 года с даты подписания сторонами Акта о приемке выполненных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B628EC" w:rsidRPr="00863791" w:rsidRDefault="00B628EC" w:rsidP="00B628EC">
      <w:pPr>
        <w:numPr>
          <w:ilvl w:val="1"/>
          <w:numId w:val="10"/>
        </w:numPr>
        <w:tabs>
          <w:tab w:val="left" w:pos="-284"/>
          <w:tab w:val="left" w:pos="426"/>
          <w:tab w:val="left" w:pos="85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B628EC" w:rsidRPr="00863791" w:rsidRDefault="00B628EC" w:rsidP="00B628EC">
      <w:pPr>
        <w:numPr>
          <w:ilvl w:val="1"/>
          <w:numId w:val="10"/>
        </w:numPr>
        <w:tabs>
          <w:tab w:val="left" w:pos="-284"/>
          <w:tab w:val="left" w:pos="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письменно известить об этом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 не позднее 3-х рабочих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 </w:t>
      </w:r>
    </w:p>
    <w:p w:rsidR="00B628EC" w:rsidRPr="00863791" w:rsidRDefault="00B628EC" w:rsidP="00863791">
      <w:pPr>
        <w:numPr>
          <w:ilvl w:val="1"/>
          <w:numId w:val="10"/>
        </w:numPr>
        <w:tabs>
          <w:tab w:val="left" w:pos="-284"/>
          <w:tab w:val="num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Если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одрядчик  обязан оплатить Заказчику все понесенные затраты. 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10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Приемка результата выполненных работ.</w:t>
      </w:r>
    </w:p>
    <w:p w:rsidR="00B628EC" w:rsidRPr="00863791" w:rsidRDefault="00B628EC" w:rsidP="00B628EC">
      <w:pPr>
        <w:numPr>
          <w:ilvl w:val="1"/>
          <w:numId w:val="11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приступает к приемке работ, выполненных по договору в течение пяти дней с момента получения сообщения Подрядчика о готовности к сдаче результата выполненных работ.</w:t>
      </w:r>
    </w:p>
    <w:p w:rsidR="00B628EC" w:rsidRPr="00863791" w:rsidRDefault="00B628EC" w:rsidP="00B628EC">
      <w:pPr>
        <w:numPr>
          <w:ilvl w:val="1"/>
          <w:numId w:val="11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 результата работ Подрядчиком  и приемка его Заказчиком оформляются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 От имени Заказчика Акт о приемке выполненных работ и Справка</w:t>
      </w:r>
      <w:r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подписываются Руководителем Заказчика или иным уполномоченным лицом.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устраняет недостатки, обнаруженные Заказчиком при приемке работ, в установленный срок, своими силами и за свой счет в трехдневный срок с момента извещения подрядчика о них, если иной срок не согласован сторонами. После устранения недостатков приемка выполненных работ осуществляется в порядке, установленном настоящим договором.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:rsidR="00B628EC" w:rsidRPr="00C60386" w:rsidRDefault="00B628EC" w:rsidP="00C60386">
      <w:pPr>
        <w:pStyle w:val="a4"/>
        <w:numPr>
          <w:ilvl w:val="1"/>
          <w:numId w:val="11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Заказчик,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принявший работу без проверки, не лишается права ссылаться 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недостатки работы, в том числе на недостатки, которые могли быть установлены при </w:t>
      </w:r>
      <w:r w:rsidRPr="00C603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обычном способе ее приемки (явные недостатки).</w:t>
      </w:r>
    </w:p>
    <w:p w:rsidR="00C60386" w:rsidRPr="00C60386" w:rsidRDefault="00C60386" w:rsidP="00424734">
      <w:pPr>
        <w:pStyle w:val="ad"/>
        <w:numPr>
          <w:ilvl w:val="1"/>
          <w:numId w:val="11"/>
        </w:numPr>
        <w:tabs>
          <w:tab w:val="left" w:pos="-426"/>
        </w:tabs>
        <w:ind w:left="-567" w:hanging="284"/>
        <w:rPr>
          <w:spacing w:val="-4"/>
        </w:rPr>
      </w:pPr>
      <w:r w:rsidRPr="00C60386">
        <w:rPr>
          <w:spacing w:val="-4"/>
        </w:rPr>
        <w:t>Материалы, поставленные Заказчиком, передаются Подрядчику без оплаты и считаются давальческим сырьем.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</w:t>
      </w:r>
      <w:r w:rsidR="00424734">
        <w:rPr>
          <w:spacing w:val="-4"/>
        </w:rPr>
        <w:t xml:space="preserve"> </w:t>
      </w:r>
      <w:r w:rsidR="00424734" w:rsidRPr="00424734">
        <w:rPr>
          <w:spacing w:val="-4"/>
        </w:rPr>
        <w:t>в соответствии с ведомостью объемов работ  (Приложение № 2)</w:t>
      </w:r>
      <w:r w:rsidRPr="00C60386">
        <w:rPr>
          <w:spacing w:val="-4"/>
        </w:rPr>
        <w:t>. Стоимость давальческих материалов не включается в сумму выручки Подрядчика.</w:t>
      </w:r>
    </w:p>
    <w:p w:rsidR="00C60386" w:rsidRPr="00C60386" w:rsidRDefault="00C60386" w:rsidP="00C60386">
      <w:pPr>
        <w:pStyle w:val="ad"/>
        <w:ind w:left="-567" w:hanging="425"/>
        <w:rPr>
          <w:spacing w:val="-4"/>
        </w:rPr>
      </w:pPr>
      <w:r w:rsidRPr="00C60386">
        <w:rPr>
          <w:spacing w:val="-4"/>
        </w:rPr>
        <w:t>6.8.Ответственность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:rsidR="00C60386" w:rsidRPr="00863791" w:rsidRDefault="00C60386" w:rsidP="00C60386">
      <w:pPr>
        <w:pStyle w:val="a4"/>
        <w:tabs>
          <w:tab w:val="left" w:pos="-284"/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863791" w:rsidP="00863791">
      <w:pPr>
        <w:tabs>
          <w:tab w:val="left" w:pos="-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5"/>
        </w:numPr>
        <w:tabs>
          <w:tab w:val="left" w:pos="-284"/>
          <w:tab w:val="left" w:pos="567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выполненных работ.</w:t>
      </w:r>
    </w:p>
    <w:p w:rsidR="00B628EC" w:rsidRPr="00863791" w:rsidRDefault="00B628EC" w:rsidP="00673585">
      <w:pPr>
        <w:numPr>
          <w:ilvl w:val="1"/>
          <w:numId w:val="5"/>
        </w:numPr>
        <w:tabs>
          <w:tab w:val="clear" w:pos="510"/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</w:t>
      </w:r>
      <w:r w:rsid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оплату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календарных дней с даты подписания сторонами Акта о приемке выполненных работ по унифицированной форме КС-2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Справки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перечисления денежных средств на расчетный счет Подрядчика, указанный в настоящем договоре. В течение пяти дней после подписания Актов формы КС-2 и Справок формы КС-3 Подрядчик предоставляет счет и счет-фактуру, оформленные в соответствии с действующим законодательством РФ. </w:t>
      </w:r>
    </w:p>
    <w:p w:rsidR="00B628EC" w:rsidRDefault="00B628EC" w:rsidP="00673585">
      <w:pPr>
        <w:numPr>
          <w:ilvl w:val="1"/>
          <w:numId w:val="5"/>
        </w:numPr>
        <w:tabs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Средства на непредвиденные работы и затраты в пределах сумм, включенных в расчет стоимости работ Подрядчика, оплачивается Заказчиком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 </w:t>
      </w:r>
    </w:p>
    <w:p w:rsidR="00863791" w:rsidRPr="00863791" w:rsidRDefault="00B628EC" w:rsidP="00673585">
      <w:pPr>
        <w:numPr>
          <w:ilvl w:val="0"/>
          <w:numId w:val="4"/>
        </w:numPr>
        <w:tabs>
          <w:tab w:val="left" w:pos="-284"/>
          <w:tab w:val="left" w:pos="426"/>
        </w:tabs>
        <w:spacing w:after="0" w:line="240" w:lineRule="auto"/>
        <w:ind w:left="-567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Заказчик вправе взыскать неустойку в размере 0,1 % от общей стоимости  работ, выполняемых по договору, за каждый день просрочки до фактического исполнения обязательств.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num" w:pos="720"/>
          <w:tab w:val="num" w:pos="180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 w:right="-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объеме,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 подлежат возмещению в полной сумме сверх неустойки, установленной пунктами  8.2., 8.3., 8.5 настоящего договора.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num" w:pos="720"/>
          <w:tab w:val="num" w:pos="180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0,1 % от стоимости дефектных работ и конструкций за каждый день просрочки до фактического устранения замечаний (дефектов).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</w:t>
      </w:r>
    </w:p>
    <w:p w:rsidR="00B628EC" w:rsidRPr="00863791" w:rsidRDefault="00B628EC" w:rsidP="00673585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обязан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B628EC" w:rsidRPr="00863791" w:rsidRDefault="00B628EC" w:rsidP="00673585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За нарушение сроков выполнения работ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(отдельного этапа работ, работ, выполненных за определенный период времени)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8.9.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8.10. Возмещение убытков и </w:t>
      </w:r>
      <w:r w:rsidR="00C64DE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неустойки не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освобождает стороны от исполнения обязательств по настоящему договору. </w:t>
      </w:r>
    </w:p>
    <w:p w:rsidR="00B628EC" w:rsidRPr="00863791" w:rsidRDefault="00B628EC" w:rsidP="00B628EC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B628EC" w:rsidRPr="00863791" w:rsidRDefault="00B628EC" w:rsidP="00B628EC">
      <w:p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8.13.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</w:t>
      </w:r>
    </w:p>
    <w:p w:rsidR="00863791" w:rsidRPr="00863791" w:rsidRDefault="00B628EC" w:rsidP="00863791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8.14.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:rsidR="00863791" w:rsidRPr="00863791" w:rsidRDefault="00B628EC" w:rsidP="00863791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Стороны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9.2.В случае возникновения указанных в </w:t>
      </w:r>
      <w:r w:rsidR="00C64DEE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9.1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договора </w:t>
      </w:r>
      <w:r w:rsidR="00C64DEE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обстоятельств, сторона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C64DEE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сторону в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извещение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Срок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C96DC1" w:rsidRDefault="00C96DC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9.4. </w:t>
      </w:r>
      <w:r w:rsidRPr="00C96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B628EC" w:rsidRPr="00863791" w:rsidRDefault="00B628EC" w:rsidP="00B628EC">
      <w:pPr>
        <w:numPr>
          <w:ilvl w:val="0"/>
          <w:numId w:val="12"/>
        </w:numPr>
        <w:tabs>
          <w:tab w:val="left" w:pos="-284"/>
        </w:tabs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Расторжение договора. Односторонний отказ от исполнения обязательств.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Настоящий договор может быть расторгнут: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суда при существенном </w:t>
      </w:r>
      <w:r w:rsidR="00C64DE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нарушении обязательств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настоящим договором, одной из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  <w:tab w:val="left" w:pos="427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аннулирования разрешительных документов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Подрядчика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на производство работ.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основания, предусмотренным условиями настоящего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C64DE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Заказчик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цены, </w:t>
      </w:r>
      <w:r w:rsidR="00C64DE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пропорционально части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10.3.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случае неисполнения Подрядчиком обязанности, предусмотренной п. 3.1.11. настоящего договора, Заказчик</w:t>
      </w:r>
      <w:r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расторгнуть настоящий договор в одностороннем порядке путем уведомления Подрядчика.</w:t>
      </w:r>
    </w:p>
    <w:p w:rsidR="00C96DC1" w:rsidRPr="00C96DC1" w:rsidRDefault="00C96DC1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10.5.</w:t>
      </w:r>
      <w:r w:rsidRPr="00C96DC1">
        <w:t xml:space="preserve"> </w:t>
      </w:r>
      <w:r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C96DC1" w:rsidRPr="00863791" w:rsidRDefault="00C96DC1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РФ"</w:t>
      </w:r>
      <w:r w:rsidR="000C2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791" w:rsidRPr="00863791" w:rsidRDefault="00B628EC" w:rsidP="00863791">
      <w:p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Порядок разрешения споров.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Споры и разногласия, 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с соблюдением претензионного порядка. Срок для рассмотрения претензии стороной – 20 календарных дней с момента получения претензии стороной.</w:t>
      </w:r>
    </w:p>
    <w:p w:rsidR="00863791" w:rsidRPr="00863791" w:rsidRDefault="00B628EC" w:rsidP="00863791">
      <w:pPr>
        <w:pStyle w:val="a4"/>
        <w:numPr>
          <w:ilvl w:val="0"/>
          <w:numId w:val="12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12.1.Настоящий договор вступает в силу</w:t>
      </w:r>
      <w:r w:rsidR="00E3683F" w:rsidRPr="00E3683F">
        <w:t xml:space="preserve"> </w:t>
      </w:r>
      <w:r w:rsidR="00E3683F" w:rsidRP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его подписания сторонами и действует до полного исполнения сторонами своих обязательств по настоящему договору</w:t>
      </w:r>
      <w:r w:rsid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12.2.Права,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B628EC" w:rsidRPr="00863791" w:rsidRDefault="00B628EC" w:rsidP="00E3683F">
      <w:pPr>
        <w:numPr>
          <w:ilvl w:val="1"/>
          <w:numId w:val="9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составлен в двух экземплярах, имеющих равную юридическую силу, по одному для каждой из сторон. </w:t>
      </w:r>
    </w:p>
    <w:p w:rsidR="00B628EC" w:rsidRPr="00863791" w:rsidRDefault="00B628EC" w:rsidP="00E3683F">
      <w:pPr>
        <w:numPr>
          <w:ilvl w:val="1"/>
          <w:numId w:val="9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12.5.В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12.6.В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Стороны обязуются выполнять условия, предусмотренные Приложением №2 («Соглашение о соблюдении антикоррупционных условий»). 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Приложениями к договору и его неотъемлемой частью являются:</w:t>
      </w:r>
    </w:p>
    <w:p w:rsidR="00B628EC" w:rsidRDefault="007A1DE4" w:rsidP="007A1DE4">
      <w:pPr>
        <w:tabs>
          <w:tab w:val="left" w:pos="-284"/>
          <w:tab w:val="left" w:pos="170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1 – </w:t>
      </w:r>
      <w:r w:rsid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AE07C7" w:rsidRP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окальны</w:t>
      </w:r>
      <w:r w:rsid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E07C7" w:rsidRP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ресурсны</w:t>
      </w:r>
      <w:r w:rsid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E07C7" w:rsidRP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сметны</w:t>
      </w:r>
      <w:r w:rsid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E07C7" w:rsidRPr="00AE0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расчет  № 1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A1DE4" w:rsidRPr="00863791" w:rsidRDefault="007A1DE4" w:rsidP="007A1DE4">
      <w:pPr>
        <w:tabs>
          <w:tab w:val="left" w:pos="-284"/>
          <w:tab w:val="left" w:pos="170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Приложение 2 – Ведомость объемов работ;</w:t>
      </w:r>
    </w:p>
    <w:p w:rsidR="00B628EC" w:rsidRPr="00863791" w:rsidRDefault="007A1DE4" w:rsidP="00E3683F">
      <w:pPr>
        <w:numPr>
          <w:ilvl w:val="0"/>
          <w:numId w:val="3"/>
        </w:numPr>
        <w:tabs>
          <w:tab w:val="left" w:pos="-284"/>
          <w:tab w:val="num" w:pos="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3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Соглашение о соблюдении антикоррупционных условий;</w:t>
      </w:r>
    </w:p>
    <w:p w:rsidR="00B628EC" w:rsidRPr="00863791" w:rsidRDefault="00302775" w:rsidP="00E3683F">
      <w:pPr>
        <w:numPr>
          <w:ilvl w:val="0"/>
          <w:numId w:val="3"/>
        </w:numPr>
        <w:tabs>
          <w:tab w:val="left" w:pos="-284"/>
          <w:tab w:val="num" w:pos="1701"/>
        </w:tabs>
        <w:spacing w:after="0" w:line="240" w:lineRule="auto"/>
        <w:ind w:left="-567" w:firstLine="0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4</w:t>
      </w:r>
      <w:r w:rsidR="00B628EC"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Соглашение о соблюдении подрядчиком требований в области антитеррористической безопасности;</w:t>
      </w:r>
    </w:p>
    <w:p w:rsidR="00B628EC" w:rsidRPr="00863791" w:rsidRDefault="00302775" w:rsidP="00E3683F">
      <w:pPr>
        <w:numPr>
          <w:ilvl w:val="0"/>
          <w:numId w:val="3"/>
        </w:numPr>
        <w:tabs>
          <w:tab w:val="left" w:pos="-284"/>
          <w:tab w:val="num" w:pos="1134"/>
        </w:tabs>
        <w:spacing w:after="0" w:line="240" w:lineRule="auto"/>
        <w:ind w:left="-567" w:firstLine="0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5 - Соглаш</w:t>
      </w:r>
      <w:r w:rsidR="00B628EC"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ение о соблюдении Подрядчиком требований в области охраны труда, охраны окружающей среды, промышленной и пожарной безопасности.</w:t>
      </w:r>
    </w:p>
    <w:p w:rsidR="00B628EC" w:rsidRDefault="00B628EC" w:rsidP="00E3683F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Техническая документация является неотъемлемой частью настоящего договора.</w:t>
      </w:r>
    </w:p>
    <w:p w:rsidR="00C96DC1" w:rsidRPr="00863791" w:rsidRDefault="00C96DC1" w:rsidP="00863791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8EC" w:rsidRPr="00863791" w:rsidRDefault="00B628EC" w:rsidP="00863791">
      <w:pPr>
        <w:tabs>
          <w:tab w:val="left" w:pos="284"/>
        </w:tabs>
        <w:spacing w:after="0" w:line="240" w:lineRule="auto"/>
        <w:ind w:left="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Юридические адреса и банковские реквизиты сторон.</w:t>
      </w:r>
    </w:p>
    <w:tbl>
      <w:tblPr>
        <w:tblW w:w="10785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84"/>
        <w:gridCol w:w="5103"/>
        <w:gridCol w:w="176"/>
        <w:gridCol w:w="4738"/>
        <w:gridCol w:w="484"/>
      </w:tblGrid>
      <w:tr w:rsidR="00863791" w:rsidRPr="00863791" w:rsidTr="00CE43E2">
        <w:trPr>
          <w:gridAfter w:val="1"/>
          <w:wAfter w:w="484" w:type="dxa"/>
          <w:trHeight w:val="4839"/>
        </w:trPr>
        <w:tc>
          <w:tcPr>
            <w:tcW w:w="5563" w:type="dxa"/>
            <w:gridSpan w:val="3"/>
          </w:tcPr>
          <w:p w:rsidR="00863791" w:rsidRPr="00863791" w:rsidRDefault="00863791" w:rsidP="00AE07C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F8198F" w:rsidRDefault="00863791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91" w:rsidRDefault="00863791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98F" w:rsidRP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664075, РФ, Иркутская </w:t>
            </w:r>
            <w:r w:rsidR="009C1603"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область, г.</w:t>
            </w: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Иркутск, ул.Байкальская, д.239, корпус 26А.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e-mail: irmet@es.irkutskenergo.ru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 1193850013774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863791" w:rsidRPr="00AE07C7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</w:tc>
      </w:tr>
      <w:tr w:rsidR="00863791" w:rsidRPr="00863791" w:rsidTr="00CE43E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4" w:type="dxa"/>
          <w:trHeight w:val="883"/>
        </w:trPr>
        <w:tc>
          <w:tcPr>
            <w:tcW w:w="5103" w:type="dxa"/>
            <w:tcBorders>
              <w:top w:val="nil"/>
              <w:bottom w:val="nil"/>
              <w:right w:val="nil"/>
            </w:tcBorders>
          </w:tcPr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98F" w:rsidRDefault="00F8198F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C64DEE"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63791" w:rsidRPr="00863791" w:rsidRDefault="00863791" w:rsidP="0086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863791" w:rsidRPr="00863791" w:rsidRDefault="000C27D5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863791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F41" w:rsidRPr="00863791" w:rsidRDefault="00E01F4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27BD" w:rsidRDefault="009F27BD" w:rsidP="00CE43E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F27BD" w:rsidRDefault="009F27BD" w:rsidP="00BB22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A7E2B" w:rsidRPr="009A7E2B" w:rsidRDefault="007A1DE4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Приложение №3</w:t>
      </w:r>
    </w:p>
    <w:p w:rsidR="009A7E2B" w:rsidRPr="009A7E2B" w:rsidRDefault="009A7E2B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к договору №</w:t>
      </w:r>
      <w:r w:rsidRPr="009A7E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</w:t>
      </w:r>
      <w:r w:rsidRPr="009A7E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73585">
        <w:rPr>
          <w:rFonts w:ascii="Times New Roman" w:eastAsia="Times New Roman" w:hAnsi="Times New Roman" w:cs="Times New Roman"/>
          <w:sz w:val="23"/>
          <w:szCs w:val="23"/>
          <w:lang w:eastAsia="ru-RU"/>
        </w:rPr>
        <w:t>..2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  г.</w:t>
      </w:r>
    </w:p>
    <w:p w:rsidR="009A7E2B" w:rsidRPr="009A7E2B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9A7E2B" w:rsidRPr="009A7E2B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«Соглашение о соблюдении антикоррупционных условий»</w:t>
      </w:r>
    </w:p>
    <w:p w:rsidR="009A7E2B" w:rsidRPr="009A7E2B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A7E2B" w:rsidRPr="009A7E2B" w:rsidRDefault="009A7E2B" w:rsidP="009A7E2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г. Иркутск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9F27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</w:t>
      </w:r>
      <w:r w:rsid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9F27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</w:p>
    <w:p w:rsidR="009A7E2B" w:rsidRPr="009A7E2B" w:rsidRDefault="009A7E2B" w:rsidP="009A7E2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0C27D5" w:rsidRP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«ИРМЕТ» (ООО «ИРМЕТ»), именуемое в дальнейшем «</w:t>
      </w:r>
      <w:r w:rsidR="00E3683F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</w:t>
      </w:r>
      <w:r w:rsidR="000C27D5" w:rsidRP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», в лице директора </w:t>
      </w:r>
      <w:r w:rsidR="00C64DEE" w:rsidRP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Перфильева Александра Олеговича</w:t>
      </w:r>
      <w:r w:rsidR="000C27D5" w:rsidRP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Устава, с одной стороны, и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</w:t>
      </w:r>
      <w:r w:rsidR="00CE43E2" w:rsidRPr="00CE43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именуемый в дальнейшем «Подрядчик»,  действующий на основании 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</w:t>
      </w:r>
      <w:r w:rsidR="000C27D5" w:rsidRPr="000C27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другой стороны, именуемые в дальнейшем «стороны»,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заключили настоящее соглашение (далее – Соглашение) о соблюдении антикоррупционных условий к договору №   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____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от 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..</w:t>
      </w:r>
      <w:r w:rsidR="00673585">
        <w:rPr>
          <w:rFonts w:ascii="Times New Roman" w:eastAsia="Times New Roman" w:hAnsi="Times New Roman" w:cs="Times New Roman"/>
          <w:sz w:val="23"/>
          <w:szCs w:val="23"/>
          <w:lang w:eastAsia="ru-RU"/>
        </w:rPr>
        <w:t>202</w:t>
      </w:r>
      <w:r w:rsidR="00C64DE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B22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(далее – Договор):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9A7E2B" w:rsidRPr="009A7E2B" w:rsidRDefault="009A7E2B" w:rsidP="009A7E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9A7E2B" w:rsidRPr="009A7E2B" w:rsidRDefault="009A7E2B" w:rsidP="009A7E2B">
      <w:pPr>
        <w:widowControl w:val="0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представление неоправданных преимуществ по сравнению с другими контрагентами;</w:t>
      </w:r>
    </w:p>
    <w:p w:rsidR="009A7E2B" w:rsidRPr="009A7E2B" w:rsidRDefault="009A7E2B" w:rsidP="009A7E2B">
      <w:pPr>
        <w:widowControl w:val="0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представление каких-либо гарантий;</w:t>
      </w:r>
    </w:p>
    <w:p w:rsidR="009A7E2B" w:rsidRPr="009A7E2B" w:rsidRDefault="009A7E2B" w:rsidP="009A7E2B">
      <w:pPr>
        <w:widowControl w:val="0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ускорение существующих процедур;</w:t>
      </w:r>
    </w:p>
    <w:p w:rsidR="009A7E2B" w:rsidRPr="009A7E2B" w:rsidRDefault="009A7E2B" w:rsidP="009A7E2B">
      <w:pPr>
        <w:widowControl w:val="0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9A7E2B" w:rsidRPr="009A7E2B" w:rsidRDefault="009A7E2B" w:rsidP="009A7E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A7E2B" w:rsidRP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9A7E2B" w:rsidRDefault="009A7E2B" w:rsidP="009A7E2B">
      <w:pPr>
        <w:widowControl w:val="0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Реквизиты и подписи сторон:</w:t>
      </w:r>
    </w:p>
    <w:p w:rsidR="009A7E2B" w:rsidRPr="009A7E2B" w:rsidRDefault="009A7E2B" w:rsidP="009A7E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9026" w:type="dxa"/>
        <w:tblLayout w:type="fixed"/>
        <w:tblLook w:val="0000" w:firstRow="0" w:lastRow="0" w:firstColumn="0" w:lastColumn="0" w:noHBand="0" w:noVBand="0"/>
      </w:tblPr>
      <w:tblGrid>
        <w:gridCol w:w="98"/>
        <w:gridCol w:w="4500"/>
        <w:gridCol w:w="82"/>
        <w:gridCol w:w="4255"/>
        <w:gridCol w:w="91"/>
      </w:tblGrid>
      <w:tr w:rsidR="009A7E2B" w:rsidRPr="00863791" w:rsidTr="00302775">
        <w:trPr>
          <w:gridBefore w:val="1"/>
          <w:gridAfter w:val="1"/>
          <w:wBefore w:w="98" w:type="dxa"/>
          <w:wAfter w:w="91" w:type="dxa"/>
          <w:trHeight w:val="4839"/>
        </w:trPr>
        <w:tc>
          <w:tcPr>
            <w:tcW w:w="4582" w:type="dxa"/>
            <w:gridSpan w:val="2"/>
          </w:tcPr>
          <w:p w:rsidR="009A7E2B" w:rsidRPr="00863791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C64DEE" w:rsidRPr="00863791" w:rsidRDefault="00BB2248" w:rsidP="00C64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7E2B" w:rsidRPr="00863791" w:rsidRDefault="009A7E2B" w:rsidP="00CE43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</w:tcPr>
          <w:p w:rsidR="009A7E2B" w:rsidRPr="00863791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 664075, РФ, Иркутская область, г. Иркутск, ул.Байкальская, д.239, корпус 26А.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e-mail: irmet@es.irkutskenergo.ru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 1193850013774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C64DEE" w:rsidRPr="000C27D5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C64DEE" w:rsidRPr="00C64DEE" w:rsidRDefault="00C64DEE" w:rsidP="00C64DE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9A7E2B" w:rsidRDefault="00C64DEE" w:rsidP="00C64DEE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4D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  <w:p w:rsidR="000C27D5" w:rsidRPr="00863791" w:rsidRDefault="000C27D5" w:rsidP="000C27D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E2B" w:rsidRPr="00863791" w:rsidTr="0030277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83"/>
        </w:trPr>
        <w:tc>
          <w:tcPr>
            <w:tcW w:w="4598" w:type="dxa"/>
            <w:gridSpan w:val="2"/>
            <w:tcBorders>
              <w:top w:val="nil"/>
              <w:bottom w:val="nil"/>
              <w:right w:val="nil"/>
            </w:tcBorders>
          </w:tcPr>
          <w:p w:rsidR="004566A4" w:rsidRDefault="00C64DE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E43E2" w:rsidRDefault="00CE43E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3E2" w:rsidRPr="00863791" w:rsidRDefault="00CE43E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863791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863791" w:rsidRDefault="009C1603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9A7E2B"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B2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CE4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9A7E2B"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A7E2B" w:rsidRPr="00863791" w:rsidRDefault="009A7E2B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7E2B" w:rsidRPr="00863791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9A7E2B" w:rsidRPr="00863791" w:rsidRDefault="000C27D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9A7E2B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9A7E2B" w:rsidRPr="00863791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863791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863791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_/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А.О. 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9A7E2B" w:rsidRPr="00863791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63791" w:rsidRP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1CC" w:rsidRDefault="009231CC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585" w:rsidRDefault="0067358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DEE" w:rsidRDefault="00C64DEE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DEE" w:rsidRDefault="00C64DEE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DEE" w:rsidRPr="00863791" w:rsidRDefault="00C64DEE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1_термины_и_определения"/>
      <w:bookmarkStart w:id="3" w:name="_термины_и_определения"/>
      <w:bookmarkEnd w:id="2"/>
      <w:bookmarkEnd w:id="3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2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02775" w:rsidRPr="00302775" w:rsidRDefault="00302775" w:rsidP="0030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«</w:t>
      </w:r>
      <w:r w:rsidRPr="00302775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безопасности»</w:t>
      </w:r>
    </w:p>
    <w:p w:rsidR="00302775" w:rsidRPr="00302775" w:rsidRDefault="00302775" w:rsidP="00302775">
      <w:pPr>
        <w:spacing w:before="12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>1. Основные положения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противопожарного режима в РФ, Правил пожарной безопасности для энергетических предприятий;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Федеральных норм и Правил в области промышленной безопасности;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Охране окружающей среды;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 своими работниками, а также привлеченными Подрядчиком субподрядными организациями (Субподрядчиками).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работ на объектах Заказчика, Подрядчик обязан соблюдать требования действующего законодательства РФ в области охраны труда, охраны окружающей среды,  промышленной и пожарной безопасности), а также требования локальных нормативных актов Заказчика (ЛНА), размещенных на корпоративном сайте ПАО «Иркутскэнерго» по ссылке</w:t>
      </w:r>
      <w:bookmarkStart w:id="4" w:name="OLE_LINK1"/>
      <w:bookmarkStart w:id="5" w:name="OLE_LINK2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302775">
          <w:rPr>
            <w:rFonts w:ascii="Times New Roman" w:eastAsia="Times New Roman" w:hAnsi="Times New Roman" w:cs="Times New Roman"/>
            <w:i/>
            <w:color w:val="FF0000"/>
            <w:sz w:val="24"/>
            <w:szCs w:val="24"/>
            <w:u w:val="single"/>
            <w:lang w:eastAsia="ru-RU"/>
          </w:rPr>
          <w:t>http://www.irkutskenergo.ru/qa/6458.html</w:t>
        </w:r>
      </w:hyperlink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: </w:t>
      </w:r>
      <w:bookmarkEnd w:id="4"/>
      <w:bookmarkEnd w:id="5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2775" w:rsidRPr="00302775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СТП 011.516.212-2014 Положение о производственном контроле промышленной безопасности на опасных производственных объектах;</w:t>
      </w:r>
    </w:p>
    <w:p w:rsidR="00302775" w:rsidRPr="00302775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СТП 001.068.114 – 2008 Политика в области управления системой обеспечения пожарной безопасности;</w:t>
      </w:r>
    </w:p>
    <w:p w:rsidR="00302775" w:rsidRPr="00302775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СТП 011.517.081-2015 Система управления охраной труда. Основные положения</w:t>
      </w:r>
    </w:p>
    <w:p w:rsidR="00302775" w:rsidRPr="00302775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Экологическая политика ПАО «Иркутскэнерго».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Перечень приведенных в настоящем Соглашении локальных нормативных актов в области охраны окружающей среды экологической,  промышленной и пожарной безопасности Заказчика является открытым,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Субподрядчиками.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и/или его Субподрядчиком действующего законодательства либо локального нормативного акта Заказчика в области охраны труда, охраны окружающей среды, промышленной, пожарной безопасности,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Подрядчиком.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Подрядчика обязан ознакомить с настоящим Соглашением своих работников, а также привлекаемых Субподрядчиков. 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проводить независимые аудиты и контрольные проверки соблюдения требований п.1.1.-1.3. настоящего Соглашения на участках и объектах выполнения подрядных работ. Результаты аудитов и проверок будут предоставлены Подрядчику, который в свою очередь обязан устранить выявленные представителями Заказчика, нарушения Правил безопасности, условий договора, локальных документов Заказчика, с последующим уведомлением Заказчика о проделанной работе согласно Акту аудита или контрольной проверки.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предприятия). дальнейшее взаимодействие выполняется на основании «Соглашения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соблюдении подрядчиком требований в области антитеррористической безопасности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02775" w:rsidRPr="00302775" w:rsidRDefault="00302775" w:rsidP="00302775">
      <w:pPr>
        <w:tabs>
          <w:tab w:val="num" w:pos="1701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2. Основные требования в области охраны труда, </w:t>
      </w: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охраны окружающей среды</w:t>
      </w: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, промышленной и пожарной безопасности 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2.2.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>Все оборудование Подрядчика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назначить приказом ответственное лицо за эксплуатацию машин и оборудования Заказчика, переданных им Подрядчику.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Перед началом производства работ Подрядчик обязан согласовать с Заказчиком: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разрешенных проездов по территории;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и способы прокладки временных коммуникаций;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индивидуальной защиты;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действий в случае аварийных и нештатных ситуаций.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Персонал Подрядчика и Субподрядчика до начала работ должен пройти медицинский осмотр и не иметь медицинских противопоказаний.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Передача Подрядчику отдельных объектов Заказчика для выполнения работ оформляется двухсторонним актом-допуском между Заказчиком и Подрядчиком на период производства работ.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Подрядчик,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по предупреждению и реагированию на ЧС), после чего принимает объект согласно акту (наряду) - допуску.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координация 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Подрядчик обязан обеспечить присутствие на территории Заказчика лица, ответственного за вопросы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Подрядчика, задействованных на территории Заказчика.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Представители Подрядчика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работники Подрядчика 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Подрядчик и Субподрядчики, привлеченные Подрядчиком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Подрядчику запрещается: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0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 наркотическое или токсическое опьянение работникам Подрядчика.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изменять условия, последовательность и объем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отвлекать работников Заказчика во время проведения ими производственных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оборудованием и механизмами Заказчика без согласования с ним;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курить вне отведенных для этого мест;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любые виды отходов вне отведенных мест;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применять в работе открытый огонь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>на территории ПАО «Иркутскэнерго», кроме работ, технология которых предусматривает применение открытого огня;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хранить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 сжигание любых видов отходов на территории ПАО «Иркутскэнерго»;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сброс и слив отходов в системы канализации, на грунт;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нефтепродукты в резервуарах без маркировки, с открытыми крышками;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утечки потребляемых видов энергоресурсов;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3. Отдельные требования.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СИЗ, Транспорт.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Работники Подрядчика,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Работники Подрядчика должны обязательно применять </w:t>
      </w: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застегнутые подбородным ремнем защитные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каски: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выполнении грузоподъёмных работ и при перемещении грузов;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строительных работах;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зоне возможного контакта головы с электропроводкой;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 Работники Подрядчика должны обязательно применять защитные очки или щитки: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ручным инструментом ударного действия;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электро- и газосварочных работах.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Все транспортные средства Подрядчика, используемые при проведении работ, должны быть оборудованы следующим: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ремнями безопасности для водителя и всех пассажиров (если это предусмотрено заводом изготовителем);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аптечкой первой помощи;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огнетушителем;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системами автоматики, блокировок, сигнализации (если это предусмотрено соответствующими НПА);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 аварийной остановки;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противооткатными башмаками;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искрогасителями (на территориях взрывопожароопасных объектов Заказчика);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3.1.6.Подрядчик должен обеспечить: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 достаточную квалификацию водителей транспортных средств;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регулярных ТО транспортных средств;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 применение транспортных средств по их назначению;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внутри объектового скоростного режима, установленного Заказчиком;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и стоянку транспортных средств согласно разметке и дорожных знаков на территории Заказчика.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 Подрядчик обязан:</w:t>
      </w:r>
    </w:p>
    <w:p w:rsidR="00302775" w:rsidRPr="00302775" w:rsidRDefault="00302775" w:rsidP="00302775">
      <w:pPr>
        <w:numPr>
          <w:ilvl w:val="0"/>
          <w:numId w:val="19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предрейсовый медицинский осмотр водителей;</w:t>
      </w:r>
    </w:p>
    <w:p w:rsidR="00302775" w:rsidRPr="00302775" w:rsidRDefault="00302775" w:rsidP="00302775">
      <w:pPr>
        <w:numPr>
          <w:ilvl w:val="0"/>
          <w:numId w:val="19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 проведении работ на территории Заказчика Подрядчик обязан: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разлива нефтепродуктов, масел обеспечить сбор разлива опилками или пес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>ком и их утилизации, при невозможности сбора и утилизации – сообщить о разливе Заказчику;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 установленным Заказчиком 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72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Подрядчик обязан информировать Заказчика о каждом нарушении требований документов, предусмотренных п.1.1.,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>4. Осведомленность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4.1.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п.1.3 настоящего Соглашения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4.2.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в области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>промышленной и пожарной безопасности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, Подрядчик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обязуется руководствоваться ЛНА, опубликованными на официальном сайте Заказчика по ссылке: </w:t>
      </w:r>
      <w:hyperlink r:id="rId8" w:history="1">
        <w:r w:rsidRPr="00302775">
          <w:rPr>
            <w:rFonts w:ascii="Times New Roman" w:eastAsia="Times New Roman" w:hAnsi="Times New Roman" w:cs="Times New Roman"/>
            <w:i/>
            <w:color w:val="FF0000"/>
            <w:sz w:val="24"/>
            <w:szCs w:val="24"/>
            <w:u w:val="single"/>
            <w:lang w:eastAsia="ru-RU"/>
          </w:rPr>
          <w:t>http://www.irkutskenergo.ru/qa/6458.html</w:t>
        </w:r>
      </w:hyperlink>
      <w:r w:rsidRPr="0030277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 проводимых Заказчиком.</w:t>
      </w:r>
    </w:p>
    <w:p w:rsidR="00302775" w:rsidRPr="00302775" w:rsidRDefault="00302775" w:rsidP="0030277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Подрядчик обязан провести инструктаж своих работников, </w:t>
      </w:r>
      <w:r w:rsidRPr="00302775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 xml:space="preserve">а также работников субподрядчиков, привлекаемых Подрядчиком, о требованиях настоящего Соглашения и ЛНА Заказчика в области ОТ и ЭППБ, указанных в п.1.1., 1.3 настоящего Соглашения. </w:t>
      </w:r>
    </w:p>
    <w:p w:rsidR="00302775" w:rsidRPr="00302775" w:rsidRDefault="00302775" w:rsidP="00302775">
      <w:pPr>
        <w:keepNext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взаимодействия Заказчика и Подрядчика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 Заказчик совместно с представителем Подрядчика,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области 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5.2 В случае обнаружения Заказчиком на объекте ПАО «Иркутскэнерго» факта нарушения работниками Подрядчика (Субподрядчика) требований безопасности и охраны труда, при выполнении им своих трудовых, а также требований документов, предусмотренных п.1.1,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Подрядчика</w:t>
      </w:r>
    </w:p>
    <w:p w:rsidR="00302775" w:rsidRPr="00302775" w:rsidRDefault="00302775" w:rsidP="003027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6.1 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 Подрядчик обязуется выплатить Заказчику штраф, зафиксированных Протоколом  нарушений требований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 пожарной безопасности, ЛНА Подрядчиком при выполнении работ, оформленным в соответствии с п. 6.5. настоящего Соглашения. Выявленные нарушения требований ОТ оформляются протоколом в соответствии с приложением  </w:t>
      </w:r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17 </w:t>
      </w:r>
      <w:r w:rsidRPr="0030277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СТП 011.543.007-2014.</w:t>
      </w: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Заказчик вправе (но не обязан) взыскать с Подрядчика штраф за каждый случай нарушения.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Работник Заказчика, уполномоченный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обнаруживший факт нарушения Подрядчиком и/или Субподрядчиком 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ЛНА передает в адрес  Подрядчика 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Подрядчика и/или Субподрядчика в назначенное время и место  для составления   Протокола о нарушении требований норм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  в случае не устранения нарушения, по истечении установленного в Уведомлении срока.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6.4.1. Уведомление направляется в адрес Подрядчика телефонограммой, либо посредством электронной почти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 /или Субподрядчиком данного Уведомления.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Протокол о нарушении требований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ЛНА Подрядчиком при выполнении работ составляется комиссией, с участием представителей Заказчика и Подрядчика, уполномоченными в сфере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</w:t>
      </w:r>
      <w:r w:rsidRPr="00302775" w:rsidDel="0075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Размер штрафа, выплачиваемый Подрядчиком, определяется тяжестью нарушений и их последствиями, с учетом критериев (п.6.6)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п.6.5. настоящего соглашения.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6.6.1. 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не начисляется.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6.6.2. При принятии решения о наложении и определении размера штрафа обязательно учитывается общая стоимость работ по договору. Штраф не должен назначаться, если стоимость работ по договору сравнима с суммой штрафа.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6.6.2. Если произошли инциденты, связанные с ОТ, инциденты на ОПО, причинен вред окружающей среде, в результате действий Подрядчика или Субподрядчика, привлеченного Подрядчиком, Подрядчик возмещает Заказчику все понесенные Заказчиком расходы на устранение последствий происшествий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в области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>охраны труда, промышленной, пожарной безопасности,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окружающей среды (в том числе и расходы, понесенные Заказчиком случае взыскания государственными надзорными органами штрафных санкций), производит восстановительные работы за свой счет.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6.6.3. В случае взыскания контролирующими органами штрафных санкций с Заказчика по фактам нарушений требований законодательства РФ об охране труда, охране окружающей среды, промышленной, пожарной безопасности,  произошедших по вине Подрядчика, Подрядчик возмещает Заказчику расходы по уплате таких штрафов.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6.7.Размер штрафа определяется тяжестью нарушений и их последствиями, с учетом рекомендаций таблицы 1.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определения размера штрафов, назначаемых подрядчику в случае нарушений в области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труда, охраны окружающей среды, промышленной, пожарной безопасности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6745"/>
        <w:gridCol w:w="2220"/>
      </w:tblGrid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ситуации (содержание нарушений)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Рекомендованный размер штрафа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устранение в срок нарушения требований ЛНА, не несущих рисков наложения штрафа или инцидентов 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Повторное нарушения требований 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 и других действующих отраслевых нормативно-правовых актов (НПА) в области</w:t>
            </w:r>
            <w:r w:rsidRPr="0030277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охраны труда, </w:t>
            </w:r>
            <w:r w:rsidRPr="003027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охраны окружающей среды, </w:t>
            </w: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промышленной и пожарной</w:t>
            </w:r>
            <w:r w:rsidRPr="0030277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безопасности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 – 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актов, содержащие риск наложения штрафа на Заказчика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актов, содержащие риск наложения штрафа на Заказчика и возникновения инцидентов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10000-20000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действий Подрядчика контролирующими органами наложены штрафные санкции на Заказчика (кроме компенсации штрафов, наложенных на Заказчика)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действий подрядчика нанесен ущерб окружающей среде, имуществу Заказчика (кроме компенсации ущерба и восстановления)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20000-40000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</w:tr>
    </w:tbl>
    <w:p w:rsidR="00302775" w:rsidRPr="00302775" w:rsidRDefault="00302775" w:rsidP="003027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.8.</w:t>
      </w:r>
      <w:r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302775" w:rsidRPr="00302775" w:rsidRDefault="00302775" w:rsidP="00302775">
      <w:pPr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Заключительные положения</w:t>
      </w:r>
    </w:p>
    <w:p w:rsidR="00302775" w:rsidRPr="00302775" w:rsidRDefault="00302775" w:rsidP="00302775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Подписи Сторон</w:t>
      </w: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C64DEE">
        <w:trPr>
          <w:trHeight w:val="1959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BB22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02775" w:rsidRPr="00863791" w:rsidRDefault="00C64DE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02775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43E2" w:rsidRPr="00863791" w:rsidRDefault="00CE43E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CE43E2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CE4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_/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02775" w:rsidRPr="00302775" w:rsidRDefault="00302775" w:rsidP="009F27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02775" w:rsidRPr="00302775" w:rsidRDefault="00302775" w:rsidP="003027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B2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64D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358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t xml:space="preserve">«Соглашение о соблюдении ПОДРЯДЧИКОМ требований в области Антитеррористической безопасности» </w:t>
      </w:r>
    </w:p>
    <w:p w:rsidR="00302775" w:rsidRPr="00302775" w:rsidRDefault="00302775" w:rsidP="00302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</w:t>
      </w:r>
    </w:p>
    <w:p w:rsidR="00302775" w:rsidRPr="00302775" w:rsidRDefault="00302775" w:rsidP="00302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302775" w:rsidRPr="00302775" w:rsidRDefault="00302775" w:rsidP="00302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Потенциально опасные участки объекта Заказчика - территориально выделенные зоны (участки), конструктивные и технологические элементы объекта Заказчика,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302775" w:rsidRPr="00302775" w:rsidRDefault="00302775" w:rsidP="0030277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 несет ответственность за соблюдение своими работниками, а также привлеченными Подрядчиком субподрядными организациями (Субподрядчиками)  антитеррористического законодательства, нормативно-правовых актов (НПА) об  антитеррористической безопасности, Федерального закона от 21.07.2011 N 256-ФЗ "О безопасности объектов топливно-энергетического комплекса" пропускном и внутриобьектовом режиме, персональных данных.</w:t>
      </w:r>
    </w:p>
    <w:p w:rsidR="00302775" w:rsidRPr="00302775" w:rsidRDefault="00302775" w:rsidP="00302775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1.2 Подрядчик несет ответственность за соблюдение своими работниками, а также привлеченными Подрядчиком Субподрядчиками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локальных нормативных актов Заказчика (ЛНА):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СТП 011.534.043-2016</w:t>
      </w:r>
      <w:r w:rsidRPr="00302775" w:rsidDel="00576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Пропускной и внутриобъектовый режимы в ПАО «Иркутскэнерго»;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Инструкцию о пропускном и внутриобъектовом режимах на филиале ПАО «Иркутскэнерго».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011.105.169-2012 Политика обработки персональных данных.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011.563.008-2011 О защите персональных данных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приведенных в настоящем пункте локальных нормативных актов в области АТБ Заказчика может быть дополнен, а их требования изменяться. Все вновь утвержденные локальные нормативные акты и планы мероприятий в области АТБ Заказчика обязательны для выполнения Подрядчиком и его Субподрядчиками.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Выполнение локальных нормативных актов Заказчика по АТБ обязательно для Подрядчика и Субподрядчиков.</w:t>
      </w:r>
    </w:p>
    <w:p w:rsidR="00302775" w:rsidRPr="00302775" w:rsidRDefault="00302775" w:rsidP="00302775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 В случае нарушения Подрядчиком и/или его Субподрядчиком действующего законодательства (п.1.1 настоящего соглашения), либо локальных нормативных актов Заказчика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Заказчик вправе в одностороннем внесудебном порядке расторгнуть Договор. Договор считается расторгнутым в день получения Уведомления о расторжении договора Подрядчиком.</w:t>
      </w:r>
    </w:p>
    <w:p w:rsidR="00302775" w:rsidRPr="00302775" w:rsidRDefault="00302775" w:rsidP="003027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Руководитель Подрядчика обязан ознакомить с настоящим Соглашением своих работников, а также привлекаемых Субподрядчиков. </w:t>
      </w:r>
    </w:p>
    <w:p w:rsidR="00302775" w:rsidRPr="00302775" w:rsidRDefault="00302775" w:rsidP="003027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Заказчик оставляет за собой право проводить контрольные проверки соблюдения требований п.1.1.-1.3. настоящего Соглашения на участках и объектах выполнения подрядных работ. Результаты проверок будут предоставлены Подрядчику, который в свою очередь обязан устранить выявленные представителями Заказчика, нарушения правил  в области АТБ, с последующим уведомлением Заказчика о проделанной работе согласно контрольной проверке.</w:t>
      </w:r>
    </w:p>
    <w:p w:rsidR="00302775" w:rsidRPr="00302775" w:rsidRDefault="00302775" w:rsidP="00302775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требования в области антитеррористической безопасности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(и привлекаемый им Субподрядчик) обязан иметь все предусмотренные законодательством разрешительные документы на осуществляемые им виды деятельности.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Подрядчик обязан: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паспортов, трудовых договоров с Подрядчиком, разрешения на работу для иностранных граждан.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При заключении договора: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приложить к договору полный список работников Подрядчика/Субподрядчика,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предоставить справку об отсутствии судимости в течение тридцати календарных дней с момента заключения договора на всех работников Подрядчика/Субподрядчика, допускаемых на объект;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согласовывать с Заказчиком изменения списка лиц, привлекаемых для выполнения работ.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Представители Подрядчика в области АТБ, работники Подрядчика и Субподрядчика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Подрядчика/Субподрядчика до начала работ должен пройти вводный и первичный инструктажи по АТБ.</w:t>
      </w:r>
    </w:p>
    <w:p w:rsidR="00302775" w:rsidRDefault="00302775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F27BD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7BD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7BD" w:rsidRPr="00302775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Отдельные требования</w:t>
      </w:r>
    </w:p>
    <w:p w:rsidR="00302775" w:rsidRPr="00302775" w:rsidRDefault="00302775" w:rsidP="00302775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Подрядчик обязан представлять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Осведомленность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п.1.1 и 1.2 настоящего Соглашения.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 </w:t>
      </w: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АТБ, Подрядчик </w:t>
      </w: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обязуется руководствоваться ЛНА, опубликованными на официальном сайте Заказчика по ссылке: http://www.irkutskenergo.ru/qa/3701.html.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АТБ проводимых Заказчиком.</w:t>
      </w:r>
    </w:p>
    <w:p w:rsidR="00302775" w:rsidRPr="00302775" w:rsidRDefault="00302775" w:rsidP="0030277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Подрядчик обязан ознакомить своих работников, </w:t>
      </w:r>
      <w:r w:rsidRPr="00302775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а также работников субподрядчиков, привлекаемых Подрядчиком, с требованиями настоящего Соглашения и ЛНА Заказчика в области АТБ.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взаимодействия заказчика и подрядчика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 Заказчик, совместно с представителем Подрядчика,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области АТБ. 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обнаружения Заказчиком на объекте факта нарушения работниками Подрядчика (Субподрядчика) требований АТБ,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Подрядчика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6.1.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302775" w:rsidRPr="00302775" w:rsidRDefault="00302775" w:rsidP="003027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Подрядчик возмещает Заказчику все понесенные Заказчиком расходы на устранение последствий происшествий, произошедшие по вине Подрядчика или Субподрядчика, привлеченного Подрядчиком.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6.3.   Подрядчик обязуется выплатить Заказчику штраф в размере, установленном в Протоколе о нарушении требований норм АТБ, в соответствии со шкалой штрафных санкций (Таблица 1 раздел 8 настоящего соглашения).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 Сотрудник охраны объекта, либо работник Заказчика, уполномоченный в области АТБ, обнаруживший факт нарушения Подрядчиком и/или Субподрядчиком правил в области АТБ в месте совершения нарушения или в помещении службы охраны, в присутствии представителя Подрядчика и/или Субподрядчика (в случае допущения нарушения Субподрядчиком) составляет Акт о нарушении требований АТБ Подрядчиком при выполнении работ (Акт о нарушении). </w:t>
      </w:r>
    </w:p>
    <w:p w:rsidR="00302775" w:rsidRPr="00302775" w:rsidRDefault="00302775" w:rsidP="00302775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 нарушении составляется сотрудником охраны объекта Заказчика с участием представителей Заказчика и Подрядчика/Субподрядчика. В случае отказа представителя Подрядчика/Субподрядчика от участия в составлении Акта, в Акте делается соответствующая отметка. При этом при составлении Акта о нарушении  рекомендовано участие уполномоченного представителя Заказчика в области АТБ.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82995749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                                                                             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 Штрафные санкции, предъявленные государственными надзорными органами Заказчику в результате действий Подрядчика или Субподрядчика, привлеченного Подрядчиком, возмещаются Подрядчиком.</w:t>
      </w:r>
      <w:bookmarkEnd w:id="6"/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6.6.1. Наложение штрафных санкций является правом, Заказчика. Под наложением штрафных санкций понимается обязательное принятие мер, предусмотренных п. 8.1 настоящего Соглашения.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штрафа не может превышать  10 % от общей стоимости работ, выполняемых по договору.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6.6.2. Оплата Подрядчиком штрафных санкций производится в течение 10 рабочих дней с момента направления Заказчиком в адрес Претензии о нарушении Подрядчиком требований в области антитеррористической безопасности и  выставления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Заключительные положения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В случае если одна из  Сторон располагает сведениями, что может произойти нарушение каких-либо требований в обрасти АТБ, такая Сторона обязуется уведомить другую Сторону в письменной форме.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8. Шкала штрафных санкций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Размер штрафных санкций за нарушения, допущенные работниками Подрядчика/Субподрядчика определяется с учетом таблицы 1.</w:t>
      </w:r>
    </w:p>
    <w:p w:rsidR="00302775" w:rsidRPr="00302775" w:rsidRDefault="00302775" w:rsidP="003027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Таблица1</w:t>
      </w:r>
    </w:p>
    <w:p w:rsidR="00302775" w:rsidRPr="00302775" w:rsidRDefault="00302775" w:rsidP="0030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</w:p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 штрафа (руб.)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Курение в потенциально опасные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rPr>
          <w:trHeight w:val="259"/>
        </w:trPr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выявленных попыток выноса/вывоза принадлежащих Подрядчику/Субподрядчику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rPr>
          <w:trHeight w:val="259"/>
        </w:trPr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Тайное хищение имущества заказчика,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</w:tbl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pStyle w:val="a4"/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302775" w:rsidRPr="00302775" w:rsidRDefault="00302775" w:rsidP="00302775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BB22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E43E2" w:rsidRDefault="00CE43E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0FF2" w:rsidRDefault="00A40FF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0FF2" w:rsidRPr="00863791" w:rsidRDefault="00A40FF2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_/</w:t>
            </w:r>
            <w:r w:rsidR="00C64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 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863791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02775" w:rsidRPr="0086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EE" w:rsidRDefault="00C64DEE" w:rsidP="00AE07C7">
      <w:pPr>
        <w:spacing w:after="0" w:line="240" w:lineRule="auto"/>
      </w:pPr>
      <w:r>
        <w:separator/>
      </w:r>
    </w:p>
  </w:endnote>
  <w:endnote w:type="continuationSeparator" w:id="0">
    <w:p w:rsidR="00C64DEE" w:rsidRDefault="00C64DEE" w:rsidP="00AE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EE" w:rsidRDefault="00C64DEE" w:rsidP="00AE07C7">
      <w:pPr>
        <w:spacing w:after="0" w:line="240" w:lineRule="auto"/>
      </w:pPr>
      <w:r>
        <w:separator/>
      </w:r>
    </w:p>
  </w:footnote>
  <w:footnote w:type="continuationSeparator" w:id="0">
    <w:p w:rsidR="00C64DEE" w:rsidRDefault="00C64DEE" w:rsidP="00AE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A37191"/>
    <w:multiLevelType w:val="hybridMultilevel"/>
    <w:tmpl w:val="29B8C90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711CE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B40A20"/>
    <w:multiLevelType w:val="hybridMultilevel"/>
    <w:tmpl w:val="22AC65FA"/>
    <w:lvl w:ilvl="0" w:tplc="8682C2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 w15:restartNumberingAfterBreak="0">
    <w:nsid w:val="725C0938"/>
    <w:multiLevelType w:val="hybridMultilevel"/>
    <w:tmpl w:val="AB30C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D039B"/>
    <w:multiLevelType w:val="multilevel"/>
    <w:tmpl w:val="5C16351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6D4B1F"/>
    <w:multiLevelType w:val="multilevel"/>
    <w:tmpl w:val="2D009F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5"/>
  </w:num>
  <w:num w:numId="5">
    <w:abstractNumId w:val="21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7"/>
  </w:num>
  <w:num w:numId="11">
    <w:abstractNumId w:val="18"/>
  </w:num>
  <w:num w:numId="12">
    <w:abstractNumId w:val="3"/>
  </w:num>
  <w:num w:numId="13">
    <w:abstractNumId w:val="19"/>
  </w:num>
  <w:num w:numId="14">
    <w:abstractNumId w:val="1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"/>
  </w:num>
  <w:num w:numId="18">
    <w:abstractNumId w:val="22"/>
  </w:num>
  <w:num w:numId="19">
    <w:abstractNumId w:val="6"/>
  </w:num>
  <w:num w:numId="20">
    <w:abstractNumId w:val="14"/>
  </w:num>
  <w:num w:numId="21">
    <w:abstractNumId w:val="13"/>
  </w:num>
  <w:num w:numId="22">
    <w:abstractNumId w:val="11"/>
  </w:num>
  <w:num w:numId="23">
    <w:abstractNumId w:val="23"/>
  </w:num>
  <w:num w:numId="24">
    <w:abstractNumId w:val="10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EC"/>
    <w:rsid w:val="00062AC8"/>
    <w:rsid w:val="00071355"/>
    <w:rsid w:val="00076919"/>
    <w:rsid w:val="000919B0"/>
    <w:rsid w:val="000C27D5"/>
    <w:rsid w:val="00121C0E"/>
    <w:rsid w:val="00162072"/>
    <w:rsid w:val="002467CE"/>
    <w:rsid w:val="002731C8"/>
    <w:rsid w:val="00302775"/>
    <w:rsid w:val="00354020"/>
    <w:rsid w:val="003D105D"/>
    <w:rsid w:val="00424734"/>
    <w:rsid w:val="0045119A"/>
    <w:rsid w:val="004566A4"/>
    <w:rsid w:val="00482CFE"/>
    <w:rsid w:val="004A5336"/>
    <w:rsid w:val="00524ABE"/>
    <w:rsid w:val="005B52CE"/>
    <w:rsid w:val="0060518C"/>
    <w:rsid w:val="00623A26"/>
    <w:rsid w:val="00635C4C"/>
    <w:rsid w:val="00673585"/>
    <w:rsid w:val="0072595B"/>
    <w:rsid w:val="007A1DE4"/>
    <w:rsid w:val="007F260F"/>
    <w:rsid w:val="00863791"/>
    <w:rsid w:val="008C4793"/>
    <w:rsid w:val="00900255"/>
    <w:rsid w:val="009231CC"/>
    <w:rsid w:val="00981273"/>
    <w:rsid w:val="009A7E2B"/>
    <w:rsid w:val="009C1603"/>
    <w:rsid w:val="009F27BD"/>
    <w:rsid w:val="00A40FF2"/>
    <w:rsid w:val="00A82050"/>
    <w:rsid w:val="00AE07C7"/>
    <w:rsid w:val="00B00994"/>
    <w:rsid w:val="00B628EC"/>
    <w:rsid w:val="00B8069B"/>
    <w:rsid w:val="00B81A64"/>
    <w:rsid w:val="00BB2248"/>
    <w:rsid w:val="00C60386"/>
    <w:rsid w:val="00C64DEE"/>
    <w:rsid w:val="00C75023"/>
    <w:rsid w:val="00C85B47"/>
    <w:rsid w:val="00C96DC1"/>
    <w:rsid w:val="00CE43E2"/>
    <w:rsid w:val="00CF4082"/>
    <w:rsid w:val="00D32AB3"/>
    <w:rsid w:val="00D34C5A"/>
    <w:rsid w:val="00D7509A"/>
    <w:rsid w:val="00DA7156"/>
    <w:rsid w:val="00E01F41"/>
    <w:rsid w:val="00E3683F"/>
    <w:rsid w:val="00F8198F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DB40"/>
  <w15:docId w15:val="{29683DD4-DF1B-488D-8873-C6B925F1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7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07C7"/>
  </w:style>
  <w:style w:type="paragraph" w:styleId="a9">
    <w:name w:val="footer"/>
    <w:basedOn w:val="a"/>
    <w:link w:val="aa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07C7"/>
  </w:style>
  <w:style w:type="paragraph" w:customStyle="1" w:styleId="p2">
    <w:name w:val="p2"/>
    <w:basedOn w:val="a"/>
    <w:rsid w:val="007A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A1DE4"/>
  </w:style>
  <w:style w:type="table" w:styleId="ab">
    <w:name w:val="Table Grid"/>
    <w:basedOn w:val="a1"/>
    <w:uiPriority w:val="39"/>
    <w:rsid w:val="007A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d"/>
    <w:uiPriority w:val="99"/>
    <w:locked/>
    <w:rsid w:val="003027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Знак,Знак Знак Знак, Знак Знак Знак"/>
    <w:basedOn w:val="a"/>
    <w:link w:val="ac"/>
    <w:uiPriority w:val="99"/>
    <w:unhideWhenUsed/>
    <w:rsid w:val="0030277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02775"/>
  </w:style>
  <w:style w:type="paragraph" w:customStyle="1" w:styleId="Style7">
    <w:name w:val="Style7"/>
    <w:basedOn w:val="a"/>
    <w:uiPriority w:val="99"/>
    <w:rsid w:val="00C85B47"/>
    <w:pPr>
      <w:widowControl w:val="0"/>
      <w:autoSpaceDE w:val="0"/>
      <w:autoSpaceDN w:val="0"/>
      <w:adjustRightInd w:val="0"/>
      <w:spacing w:after="0" w:line="250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9961</Words>
  <Characters>56783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Starodubtseva Svetlana</cp:lastModifiedBy>
  <cp:revision>3</cp:revision>
  <cp:lastPrinted>2022-04-12T02:25:00Z</cp:lastPrinted>
  <dcterms:created xsi:type="dcterms:W3CDTF">2023-03-20T07:00:00Z</dcterms:created>
  <dcterms:modified xsi:type="dcterms:W3CDTF">2023-03-21T03:02:00Z</dcterms:modified>
</cp:coreProperties>
</file>